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e84b44a9a006d56e6be356194e18268175b72"/>
    <w:p>
      <w:pPr>
        <w:pStyle w:val="Heading3"/>
      </w:pPr>
      <w:r>
        <w:t xml:space="preserve">Студенты Метрогородка присоединились к проекту «Московское кино в школе»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rPr>
          <w:bCs/>
          <w:b/>
          <w:iCs/>
          <w:i/>
        </w:rPr>
        <w:t xml:space="preserve">В рамках проекта «Московское кино в школе» студенты Технологического колледжа № 21 посмотрели фильм Владимира Меньшова «Любовь и голуби».</w:t>
      </w:r>
    </w:p>
    <w:p>
      <w:pPr>
        <w:pStyle w:val="BodyText"/>
      </w:pPr>
      <w:r>
        <w:t xml:space="preserve">— После просмотра студенты обсудили кинофильм и пришли к выводу, что это очень интересная картина, которая заставляет задуматься о многом. Ребята порекомендовали бы просмотреть эту комедию каждому, — рассказали в колледже.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http://metrogorodok.mos.ru/presscenter/news/detail/9678563.html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9678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9678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2025-07-14T21:55:31Z</dcterms:created>
  <dcterms:modified xsi:type="dcterms:W3CDTF">2025-07-14T21:55:31Z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